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263D" w14:textId="2BE51AEC" w:rsidR="00A00AEF" w:rsidRPr="00A00AEF" w:rsidRDefault="00A00AEF" w:rsidP="00A00AEF">
      <w:pPr>
        <w:spacing w:line="360" w:lineRule="auto"/>
        <w:jc w:val="both"/>
        <w:rPr>
          <w:b/>
          <w:bCs/>
          <w:sz w:val="32"/>
          <w:szCs w:val="32"/>
        </w:rPr>
      </w:pPr>
      <w:r w:rsidRPr="00A00AEF">
        <w:rPr>
          <w:b/>
          <w:bCs/>
          <w:sz w:val="32"/>
          <w:szCs w:val="32"/>
        </w:rPr>
        <w:t>Environmental Policy - Trukumb Mining</w:t>
      </w:r>
    </w:p>
    <w:p w14:paraId="418E46F5" w14:textId="77777777" w:rsidR="00AC00A3" w:rsidRDefault="00AC00A3" w:rsidP="00AC00A3">
      <w:pPr>
        <w:spacing w:line="360" w:lineRule="auto"/>
        <w:jc w:val="both"/>
      </w:pPr>
      <w:r>
        <w:t>Trukumb Mining is fully committed to upholding and exceeding both Zimbabwean and international environmental regulations. Our Environmental Management Policy integrates key aspects of the Environmental Management Act (Chapter 20:27) of Zimbabwe and other relevant regulations to ensure responsible mining practices and sustainable environmental stewardship.</w:t>
      </w:r>
    </w:p>
    <w:p w14:paraId="15E59FA4" w14:textId="0BE8E19F" w:rsidR="00AC00A3" w:rsidRDefault="00AC00A3" w:rsidP="00AC00A3">
      <w:pPr>
        <w:pStyle w:val="Heading1"/>
      </w:pPr>
      <w:r>
        <w:t>Compliance with Zimbabwean Environmental Laws:</w:t>
      </w:r>
    </w:p>
    <w:p w14:paraId="252A1572" w14:textId="77777777" w:rsidR="00AC00A3" w:rsidRDefault="00AC00A3" w:rsidP="00AC00A3">
      <w:pPr>
        <w:spacing w:line="360" w:lineRule="auto"/>
        <w:jc w:val="both"/>
      </w:pPr>
    </w:p>
    <w:p w14:paraId="5A857919" w14:textId="77777777" w:rsidR="00AC00A3" w:rsidRDefault="00AC00A3" w:rsidP="00AC00A3">
      <w:pPr>
        <w:spacing w:line="360" w:lineRule="auto"/>
        <w:jc w:val="both"/>
      </w:pPr>
      <w:r>
        <w:t>Trukumb Mining unequivocally commits to compliance with the Environmental Management Act (Chapter 20:27) of Zimbabwe and other associated regulations. We are dedicated to staying informed about any amendments or additions to these laws.</w:t>
      </w:r>
    </w:p>
    <w:p w14:paraId="4D83A73F" w14:textId="6277CDBB" w:rsidR="00AC00A3" w:rsidRDefault="00AC00A3" w:rsidP="00AC00A3">
      <w:pPr>
        <w:pStyle w:val="Heading1"/>
      </w:pPr>
      <w:r>
        <w:t>Environmental Impact Assessment (EIA) Framework:</w:t>
      </w:r>
    </w:p>
    <w:p w14:paraId="5ED86F54" w14:textId="77777777" w:rsidR="00167C5E" w:rsidRPr="00167C5E" w:rsidRDefault="00167C5E" w:rsidP="00167C5E"/>
    <w:p w14:paraId="0635FFAB" w14:textId="77777777" w:rsidR="00167C5E" w:rsidRDefault="00167C5E" w:rsidP="00167C5E">
      <w:pPr>
        <w:spacing w:line="360" w:lineRule="auto"/>
        <w:jc w:val="both"/>
      </w:pPr>
      <w:r>
        <w:t>At Trukumb Mining, the execution of the Environmental Impact Assessment (EIA) Framework aligns meticulously with the Environmental Impact Assessment and Ecosystems Protection Regulations (SI 7 of 2007). This systematic approach ensures that our mining operations are conducted responsibly, minimizing environmental impacts and promoting sustainable practices. The following outlines how Trukumb will carry out the EIA requirements:</w:t>
      </w:r>
    </w:p>
    <w:p w14:paraId="2893EB8A" w14:textId="4FF3788D" w:rsidR="00167C5E" w:rsidRDefault="00167C5E" w:rsidP="00167C5E">
      <w:pPr>
        <w:pStyle w:val="Heading2"/>
      </w:pPr>
      <w:r>
        <w:t>Initial Project Scoping:</w:t>
      </w:r>
    </w:p>
    <w:p w14:paraId="51DC805E" w14:textId="77777777" w:rsidR="00167C5E" w:rsidRDefault="00167C5E" w:rsidP="00167C5E">
      <w:pPr>
        <w:spacing w:line="360" w:lineRule="auto"/>
        <w:jc w:val="both"/>
      </w:pPr>
      <w:r>
        <w:t>Procedure: Before the commencement of any major project, Trukumb Mining initiates the project scoping phase. This involves a thorough analysis of the proposed project, identifying potential environmental impacts and ecosystem considerations.</w:t>
      </w:r>
    </w:p>
    <w:p w14:paraId="1335722A" w14:textId="77777777" w:rsidR="00167C5E" w:rsidRDefault="00167C5E" w:rsidP="00167C5E">
      <w:pPr>
        <w:spacing w:line="360" w:lineRule="auto"/>
        <w:jc w:val="both"/>
      </w:pPr>
      <w:r>
        <w:t>Timeline: Project scoping is conducted during the initial planning stages of a project.</w:t>
      </w:r>
    </w:p>
    <w:p w14:paraId="04696AD6" w14:textId="77777777" w:rsidR="00167C5E" w:rsidRDefault="00167C5E" w:rsidP="00167C5E">
      <w:pPr>
        <w:spacing w:line="360" w:lineRule="auto"/>
        <w:jc w:val="both"/>
      </w:pPr>
      <w:r>
        <w:t>2. Stakeholder Engagement:</w:t>
      </w:r>
    </w:p>
    <w:p w14:paraId="5B344259" w14:textId="77777777" w:rsidR="00167C5E" w:rsidRDefault="00167C5E" w:rsidP="00167C5E">
      <w:pPr>
        <w:spacing w:line="360" w:lineRule="auto"/>
        <w:jc w:val="both"/>
      </w:pPr>
    </w:p>
    <w:p w14:paraId="7EE2296B" w14:textId="77777777" w:rsidR="00167C5E" w:rsidRDefault="00167C5E" w:rsidP="00167C5E">
      <w:pPr>
        <w:spacing w:line="360" w:lineRule="auto"/>
        <w:jc w:val="both"/>
      </w:pPr>
      <w:r>
        <w:t>Procedure: Trukumb actively engages with relevant stakeholders, including local communities, environmental organizations, and regulatory bodies. This engagement facilitates the exchange of information, addresses concerns, and incorporates valuable input into the EIA process.</w:t>
      </w:r>
    </w:p>
    <w:p w14:paraId="455BECF3" w14:textId="77777777" w:rsidR="00167C5E" w:rsidRDefault="00167C5E" w:rsidP="00167C5E">
      <w:pPr>
        <w:spacing w:line="360" w:lineRule="auto"/>
        <w:jc w:val="both"/>
      </w:pPr>
      <w:r>
        <w:t>Timeline: Stakeholder engagement is an ongoing process throughout the EIA cycle.</w:t>
      </w:r>
    </w:p>
    <w:p w14:paraId="729E0283" w14:textId="77777777" w:rsidR="00167C5E" w:rsidRDefault="00167C5E" w:rsidP="00167C5E">
      <w:pPr>
        <w:spacing w:line="360" w:lineRule="auto"/>
        <w:jc w:val="both"/>
      </w:pPr>
      <w:r>
        <w:t>3. Baseline Data Collection:</w:t>
      </w:r>
    </w:p>
    <w:p w14:paraId="32D34C6F" w14:textId="77777777" w:rsidR="00167C5E" w:rsidRDefault="00167C5E" w:rsidP="00167C5E">
      <w:pPr>
        <w:spacing w:line="360" w:lineRule="auto"/>
        <w:jc w:val="both"/>
      </w:pPr>
    </w:p>
    <w:p w14:paraId="6F280714" w14:textId="77777777" w:rsidR="00167C5E" w:rsidRDefault="00167C5E" w:rsidP="00167C5E">
      <w:pPr>
        <w:spacing w:line="360" w:lineRule="auto"/>
        <w:jc w:val="both"/>
      </w:pPr>
      <w:r>
        <w:t>Procedure: A comprehensive collection of baseline data is conducted to establish the existing environmental conditions in and around the project area. This includes assessments of air and water quality, biodiversity, soil composition, and other relevant factors.</w:t>
      </w:r>
    </w:p>
    <w:p w14:paraId="6DA4726A" w14:textId="77777777" w:rsidR="00167C5E" w:rsidRDefault="00167C5E" w:rsidP="00167C5E">
      <w:pPr>
        <w:spacing w:line="360" w:lineRule="auto"/>
        <w:jc w:val="both"/>
      </w:pPr>
      <w:r>
        <w:t>Timeline: Baseline data collection is initiated during the project scoping phase and continues throughout the EIA process.</w:t>
      </w:r>
    </w:p>
    <w:p w14:paraId="58C638EE" w14:textId="77777777" w:rsidR="00167C5E" w:rsidRDefault="00167C5E" w:rsidP="00167C5E">
      <w:pPr>
        <w:spacing w:line="360" w:lineRule="auto"/>
        <w:jc w:val="both"/>
      </w:pPr>
      <w:r>
        <w:t>4. Impact Assessment and Prediction:</w:t>
      </w:r>
    </w:p>
    <w:p w14:paraId="4782D601" w14:textId="77777777" w:rsidR="00167C5E" w:rsidRDefault="00167C5E" w:rsidP="00167C5E">
      <w:pPr>
        <w:spacing w:line="360" w:lineRule="auto"/>
        <w:jc w:val="both"/>
      </w:pPr>
    </w:p>
    <w:p w14:paraId="0158D283" w14:textId="77777777" w:rsidR="00167C5E" w:rsidRDefault="00167C5E" w:rsidP="00167C5E">
      <w:pPr>
        <w:spacing w:line="360" w:lineRule="auto"/>
        <w:jc w:val="both"/>
      </w:pPr>
      <w:r>
        <w:t>Procedure: Trukumb Mining conducts a detailed impact assessment, predicting the potential effects of the project on the environment. This includes evaluating direct and indirect impacts on ecosystems, wildlife, water resources, air quality, and soil quality.</w:t>
      </w:r>
    </w:p>
    <w:p w14:paraId="47909F84" w14:textId="77777777" w:rsidR="00167C5E" w:rsidRDefault="00167C5E" w:rsidP="00167C5E">
      <w:pPr>
        <w:spacing w:line="360" w:lineRule="auto"/>
        <w:jc w:val="both"/>
      </w:pPr>
      <w:r>
        <w:t>Timeline: Impact assessment is a crucial phase, typically conducted after baseline data collection and stakeholder engagement.</w:t>
      </w:r>
    </w:p>
    <w:p w14:paraId="12446013" w14:textId="77777777" w:rsidR="00167C5E" w:rsidRDefault="00167C5E" w:rsidP="00167C5E">
      <w:pPr>
        <w:spacing w:line="360" w:lineRule="auto"/>
        <w:jc w:val="both"/>
      </w:pPr>
      <w:r>
        <w:t>5. Alternatives Assessment:</w:t>
      </w:r>
    </w:p>
    <w:p w14:paraId="64268507" w14:textId="77777777" w:rsidR="00167C5E" w:rsidRDefault="00167C5E" w:rsidP="00167C5E">
      <w:pPr>
        <w:spacing w:line="360" w:lineRule="auto"/>
        <w:jc w:val="both"/>
      </w:pPr>
    </w:p>
    <w:p w14:paraId="34CA4C5D" w14:textId="77777777" w:rsidR="00167C5E" w:rsidRDefault="00167C5E" w:rsidP="00167C5E">
      <w:pPr>
        <w:spacing w:line="360" w:lineRule="auto"/>
        <w:jc w:val="both"/>
      </w:pPr>
      <w:r>
        <w:t>Procedure: Trukumb explores and assesses alternative project designs or locations to minimize environmental impacts. This includes evaluating different technologies, operational methods, and site configurations.</w:t>
      </w:r>
    </w:p>
    <w:p w14:paraId="4FE05810" w14:textId="77777777" w:rsidR="00167C5E" w:rsidRDefault="00167C5E" w:rsidP="00167C5E">
      <w:pPr>
        <w:spacing w:line="360" w:lineRule="auto"/>
        <w:jc w:val="both"/>
      </w:pPr>
      <w:r>
        <w:lastRenderedPageBreak/>
        <w:t>Timeline: Alternatives assessment is integrated into the early stages of the EIA process.</w:t>
      </w:r>
    </w:p>
    <w:p w14:paraId="6C9F3434" w14:textId="77777777" w:rsidR="00167C5E" w:rsidRDefault="00167C5E" w:rsidP="00167C5E">
      <w:pPr>
        <w:spacing w:line="360" w:lineRule="auto"/>
        <w:jc w:val="both"/>
      </w:pPr>
      <w:r>
        <w:t>6. Environmental Management Plan (EMP) Development:</w:t>
      </w:r>
    </w:p>
    <w:p w14:paraId="32A2994A" w14:textId="77777777" w:rsidR="00167C5E" w:rsidRDefault="00167C5E" w:rsidP="00167C5E">
      <w:pPr>
        <w:spacing w:line="360" w:lineRule="auto"/>
        <w:jc w:val="both"/>
      </w:pPr>
    </w:p>
    <w:p w14:paraId="22DF8307" w14:textId="77777777" w:rsidR="00167C5E" w:rsidRDefault="00167C5E" w:rsidP="00167C5E">
      <w:pPr>
        <w:spacing w:line="360" w:lineRule="auto"/>
        <w:jc w:val="both"/>
      </w:pPr>
      <w:r>
        <w:t>Procedure: Based on the findings of the EIA, Trukumb develops a comprehensive Environmental Management Plan (EMP). The EMP outlines specific measures, strategies, and protocols to mitigate and manage identified environmental impacts effectively.</w:t>
      </w:r>
    </w:p>
    <w:p w14:paraId="73B26088" w14:textId="77777777" w:rsidR="00167C5E" w:rsidRDefault="00167C5E" w:rsidP="00167C5E">
      <w:pPr>
        <w:spacing w:line="360" w:lineRule="auto"/>
        <w:jc w:val="both"/>
      </w:pPr>
      <w:r>
        <w:t>Timeline: The EMP is developed after the impact assessment phase and is continuously updated as needed.</w:t>
      </w:r>
    </w:p>
    <w:p w14:paraId="1D2E3C11" w14:textId="77777777" w:rsidR="00167C5E" w:rsidRDefault="00167C5E" w:rsidP="00167C5E">
      <w:pPr>
        <w:spacing w:line="360" w:lineRule="auto"/>
        <w:jc w:val="both"/>
      </w:pPr>
      <w:r>
        <w:t>7. Submission and Review:</w:t>
      </w:r>
    </w:p>
    <w:p w14:paraId="11C318FE" w14:textId="77777777" w:rsidR="00167C5E" w:rsidRDefault="00167C5E" w:rsidP="00167C5E">
      <w:pPr>
        <w:spacing w:line="360" w:lineRule="auto"/>
        <w:jc w:val="both"/>
      </w:pPr>
    </w:p>
    <w:p w14:paraId="04A28053" w14:textId="77777777" w:rsidR="00167C5E" w:rsidRDefault="00167C5E" w:rsidP="00167C5E">
      <w:pPr>
        <w:spacing w:line="360" w:lineRule="auto"/>
        <w:jc w:val="both"/>
      </w:pPr>
      <w:r>
        <w:t>Procedure: Trukumb Mining submits the completed EIA report, including the impact assessment, alternatives assessment, and the Environmental Management Plan, to relevant regulatory authorities for review.</w:t>
      </w:r>
    </w:p>
    <w:p w14:paraId="69219E88" w14:textId="77777777" w:rsidR="00167C5E" w:rsidRDefault="00167C5E" w:rsidP="00167C5E">
      <w:pPr>
        <w:spacing w:line="360" w:lineRule="auto"/>
        <w:jc w:val="both"/>
      </w:pPr>
      <w:r>
        <w:t>Timeline: Submission occurs after internal and external reviews and is in accordance with the timelines specified by regulatory bodies.</w:t>
      </w:r>
    </w:p>
    <w:p w14:paraId="49CBB1F4" w14:textId="77777777" w:rsidR="00167C5E" w:rsidRDefault="00167C5E" w:rsidP="00167C5E">
      <w:pPr>
        <w:spacing w:line="360" w:lineRule="auto"/>
        <w:jc w:val="both"/>
      </w:pPr>
      <w:r>
        <w:t>8. Regulatory Approval and Public Disclosure:</w:t>
      </w:r>
    </w:p>
    <w:p w14:paraId="2676C2B9" w14:textId="77777777" w:rsidR="00167C5E" w:rsidRDefault="00167C5E" w:rsidP="00167C5E">
      <w:pPr>
        <w:spacing w:line="360" w:lineRule="auto"/>
        <w:jc w:val="both"/>
      </w:pPr>
    </w:p>
    <w:p w14:paraId="3518E7F5" w14:textId="77777777" w:rsidR="00167C5E" w:rsidRDefault="00167C5E" w:rsidP="00167C5E">
      <w:pPr>
        <w:spacing w:line="360" w:lineRule="auto"/>
        <w:jc w:val="both"/>
      </w:pPr>
      <w:r>
        <w:t>Procedure: Upon regulatory approval, Trukumb publicly discloses the approved EIA report, ensuring transparency and providing information to the public.</w:t>
      </w:r>
    </w:p>
    <w:p w14:paraId="1787770D" w14:textId="77777777" w:rsidR="00167C5E" w:rsidRDefault="00167C5E" w:rsidP="00167C5E">
      <w:pPr>
        <w:spacing w:line="360" w:lineRule="auto"/>
        <w:jc w:val="both"/>
      </w:pPr>
      <w:r>
        <w:t>Timeline: Public disclosure occurs promptly after regulatory approval.</w:t>
      </w:r>
    </w:p>
    <w:p w14:paraId="42EEE76B" w14:textId="77777777" w:rsidR="00167C5E" w:rsidRDefault="00167C5E" w:rsidP="00167C5E">
      <w:pPr>
        <w:spacing w:line="360" w:lineRule="auto"/>
        <w:jc w:val="both"/>
      </w:pPr>
      <w:r>
        <w:t>9. Monitoring and Auditing:</w:t>
      </w:r>
    </w:p>
    <w:p w14:paraId="6230C877" w14:textId="77777777" w:rsidR="00167C5E" w:rsidRDefault="00167C5E" w:rsidP="00167C5E">
      <w:pPr>
        <w:spacing w:line="360" w:lineRule="auto"/>
        <w:jc w:val="both"/>
      </w:pPr>
    </w:p>
    <w:p w14:paraId="048759D9" w14:textId="77777777" w:rsidR="00167C5E" w:rsidRDefault="00167C5E" w:rsidP="00167C5E">
      <w:pPr>
        <w:spacing w:line="360" w:lineRule="auto"/>
        <w:jc w:val="both"/>
      </w:pPr>
      <w:r>
        <w:t>Procedure: Trukumb establishes a robust monitoring and auditing program to assess the actual environmental performance against the predicted impacts outlined in the EIA. This involves ongoing data collection, analysis, and reporting.</w:t>
      </w:r>
    </w:p>
    <w:p w14:paraId="730AE871" w14:textId="578E7A6D" w:rsidR="00167C5E" w:rsidRDefault="00167C5E" w:rsidP="00167C5E">
      <w:pPr>
        <w:spacing w:line="360" w:lineRule="auto"/>
        <w:jc w:val="both"/>
      </w:pPr>
      <w:r>
        <w:lastRenderedPageBreak/>
        <w:t>Timeline: Monitoring and auditing are continuous throughout the project's lifecycle</w:t>
      </w:r>
    </w:p>
    <w:p w14:paraId="04E545C0" w14:textId="4B80E414" w:rsidR="00AC00A3" w:rsidRDefault="00AC00A3" w:rsidP="00AC00A3">
      <w:pPr>
        <w:pStyle w:val="Heading1"/>
      </w:pPr>
      <w:r>
        <w:t>Hazardous Substances Management:</w:t>
      </w:r>
    </w:p>
    <w:p w14:paraId="79C6D377" w14:textId="77777777" w:rsidR="00AC00A3" w:rsidRDefault="00AC00A3" w:rsidP="00AC00A3">
      <w:pPr>
        <w:spacing w:line="360" w:lineRule="auto"/>
        <w:jc w:val="both"/>
      </w:pPr>
      <w:r>
        <w:t>Hazardous substances will be managed in accordance with the Hazardous Substances and Articles (Classification, Packaging, and Labeling) Regulations (SI 184 of 1993) to ensure safe handling, storage, and disposal.</w:t>
      </w:r>
    </w:p>
    <w:p w14:paraId="6DFD587F" w14:textId="116C10A2" w:rsidR="00AC00A3" w:rsidRDefault="00AC00A3" w:rsidP="00AC00A3">
      <w:pPr>
        <w:pStyle w:val="Heading1"/>
      </w:pPr>
      <w:r>
        <w:t>Pollution Control:</w:t>
      </w:r>
    </w:p>
    <w:p w14:paraId="43398DAA" w14:textId="77777777" w:rsidR="00AC00A3" w:rsidRDefault="00AC00A3" w:rsidP="00AC00A3">
      <w:pPr>
        <w:spacing w:line="360" w:lineRule="auto"/>
        <w:jc w:val="both"/>
      </w:pPr>
      <w:r>
        <w:t>Trukumb Mining adheres to the Pollution Control (Effluent and Air Emissions) Regulations (Statutory Instrument 6 of 2007) to maintain strict standards for the discharge of effluents and emissions into the air.</w:t>
      </w:r>
    </w:p>
    <w:p w14:paraId="11FC7958" w14:textId="6A21C047" w:rsidR="00AC00A3" w:rsidRDefault="00AC00A3" w:rsidP="00AC00A3">
      <w:pPr>
        <w:pStyle w:val="Heading1"/>
      </w:pPr>
      <w:r>
        <w:t>Noise Control:</w:t>
      </w:r>
    </w:p>
    <w:p w14:paraId="1DC7DC7E" w14:textId="77777777" w:rsidR="00AC00A3" w:rsidRDefault="00AC00A3" w:rsidP="00AC00A3">
      <w:pPr>
        <w:spacing w:line="360" w:lineRule="auto"/>
        <w:jc w:val="both"/>
      </w:pPr>
    </w:p>
    <w:p w14:paraId="1762981B" w14:textId="77777777" w:rsidR="00AC00A3" w:rsidRDefault="00AC00A3" w:rsidP="00AC00A3">
      <w:pPr>
        <w:spacing w:line="360" w:lineRule="auto"/>
        <w:jc w:val="both"/>
      </w:pPr>
      <w:r>
        <w:t>Compliance with the Noise Control and Sound Level Limits Regulations (Statutory Instrument 6 of 2007) will be maintained to mitigate noise pollution in and around our mining operations.</w:t>
      </w:r>
    </w:p>
    <w:p w14:paraId="3C71FE7A" w14:textId="31BA33ED" w:rsidR="00AC00A3" w:rsidRDefault="00AC00A3" w:rsidP="00AC00A3">
      <w:pPr>
        <w:pStyle w:val="Heading1"/>
      </w:pPr>
      <w:r>
        <w:t>Solid Waste Management:</w:t>
      </w:r>
    </w:p>
    <w:p w14:paraId="35BF4FB2" w14:textId="77777777" w:rsidR="00AC00A3" w:rsidRDefault="00AC00A3" w:rsidP="00AC00A3">
      <w:pPr>
        <w:spacing w:line="360" w:lineRule="auto"/>
        <w:jc w:val="both"/>
      </w:pPr>
      <w:r>
        <w:t>Trukumb Mining aligns with the Solid Waste Management (Control of Packaging and Packaging Waste) Regulations (Statutory Instrument 6 of 2007) to ensure responsible handling and disposal of solid waste, with a focus on packaging materials.</w:t>
      </w:r>
    </w:p>
    <w:p w14:paraId="07612B92" w14:textId="2C51E252" w:rsidR="00AC00A3" w:rsidRDefault="00AC00A3" w:rsidP="00AC00A3">
      <w:pPr>
        <w:pStyle w:val="Heading1"/>
      </w:pPr>
      <w:r>
        <w:t>Wildlife Trade and Conservation:</w:t>
      </w:r>
    </w:p>
    <w:p w14:paraId="35B5007F" w14:textId="77777777" w:rsidR="00AC00A3" w:rsidRDefault="00AC00A3" w:rsidP="00AC00A3">
      <w:pPr>
        <w:spacing w:line="360" w:lineRule="auto"/>
        <w:jc w:val="both"/>
      </w:pPr>
      <w:r>
        <w:t>In adherence to Statutory Instrument 7 of 2007, we commit to responsible wildlife trade and conservation practices, ensuring compliance with regulations governing these activities.</w:t>
      </w:r>
    </w:p>
    <w:p w14:paraId="7BE0DD67" w14:textId="13177322" w:rsidR="00AC00A3" w:rsidRDefault="00AC00A3" w:rsidP="00AC00A3">
      <w:pPr>
        <w:pStyle w:val="Heading1"/>
      </w:pPr>
      <w:r>
        <w:t>International Standards:</w:t>
      </w:r>
    </w:p>
    <w:p w14:paraId="54FA50E8" w14:textId="77777777" w:rsidR="00AC00A3" w:rsidRDefault="00AC00A3" w:rsidP="00AC00A3">
      <w:pPr>
        <w:spacing w:line="360" w:lineRule="auto"/>
        <w:jc w:val="both"/>
      </w:pPr>
      <w:r>
        <w:t>Our commitment extends beyond national regulations. Trukumb Mining actively seeks to align with international standards, fostering responsible environmental practices that go beyond local requirements.</w:t>
      </w:r>
    </w:p>
    <w:p w14:paraId="21FEB910" w14:textId="77777777" w:rsidR="00AC00A3" w:rsidRDefault="00AC00A3" w:rsidP="00AC00A3">
      <w:pPr>
        <w:pStyle w:val="Heading1"/>
      </w:pPr>
      <w:r>
        <w:lastRenderedPageBreak/>
        <w:t>Environmental Care and Rehabilitation Procedures:</w:t>
      </w:r>
    </w:p>
    <w:p w14:paraId="75A18A3F" w14:textId="77777777" w:rsidR="00AC00A3" w:rsidRDefault="00AC00A3" w:rsidP="00AC00A3">
      <w:pPr>
        <w:pStyle w:val="Heading2"/>
      </w:pPr>
      <w:r>
        <w:t>Environmental Impact Assessment (EIA) Process:</w:t>
      </w:r>
    </w:p>
    <w:p w14:paraId="5C69C307" w14:textId="77777777" w:rsidR="00AC00A3" w:rsidRDefault="00AC00A3" w:rsidP="00AC00A3">
      <w:pPr>
        <w:pStyle w:val="ListParagraph"/>
        <w:numPr>
          <w:ilvl w:val="0"/>
          <w:numId w:val="12"/>
        </w:numPr>
        <w:spacing w:line="360" w:lineRule="auto"/>
        <w:jc w:val="both"/>
      </w:pPr>
      <w:r w:rsidRPr="00AC00A3">
        <w:rPr>
          <w:b/>
          <w:bCs/>
        </w:rPr>
        <w:t>Procedure</w:t>
      </w:r>
      <w:r>
        <w:t>: Conduct EIAs for all major projects.</w:t>
      </w:r>
    </w:p>
    <w:p w14:paraId="606BD3C9" w14:textId="77777777" w:rsidR="00AC00A3" w:rsidRDefault="00AC00A3" w:rsidP="00AC00A3">
      <w:pPr>
        <w:pStyle w:val="ListParagraph"/>
        <w:numPr>
          <w:ilvl w:val="0"/>
          <w:numId w:val="12"/>
        </w:numPr>
        <w:spacing w:line="360" w:lineRule="auto"/>
        <w:jc w:val="both"/>
      </w:pPr>
      <w:r w:rsidRPr="00AC00A3">
        <w:rPr>
          <w:b/>
          <w:bCs/>
        </w:rPr>
        <w:t>Timeline</w:t>
      </w:r>
      <w:r>
        <w:t>: EIAs to be initiated at the project planning stage and completed within the timelines stipulated by regulations.</w:t>
      </w:r>
    </w:p>
    <w:p w14:paraId="23A8A39B" w14:textId="77777777" w:rsidR="00AC00A3" w:rsidRDefault="00AC00A3" w:rsidP="00AC00A3">
      <w:pPr>
        <w:pStyle w:val="Heading2"/>
      </w:pPr>
      <w:r>
        <w:t>Tree Plantation Initiatives:</w:t>
      </w:r>
    </w:p>
    <w:p w14:paraId="6E242B24" w14:textId="77777777" w:rsidR="00AC00A3" w:rsidRDefault="00AC00A3" w:rsidP="00AC00A3">
      <w:pPr>
        <w:pStyle w:val="ListParagraph"/>
        <w:numPr>
          <w:ilvl w:val="0"/>
          <w:numId w:val="13"/>
        </w:numPr>
        <w:spacing w:line="360" w:lineRule="auto"/>
        <w:jc w:val="both"/>
      </w:pPr>
      <w:r w:rsidRPr="00AC00A3">
        <w:rPr>
          <w:b/>
          <w:bCs/>
        </w:rPr>
        <w:t>Procedure</w:t>
      </w:r>
      <w:r>
        <w:t>: Implement tree plantation programs for rehabilitation.</w:t>
      </w:r>
    </w:p>
    <w:p w14:paraId="7C97E508" w14:textId="77777777" w:rsidR="00AC00A3" w:rsidRDefault="00AC00A3" w:rsidP="00AC00A3">
      <w:pPr>
        <w:pStyle w:val="ListParagraph"/>
        <w:numPr>
          <w:ilvl w:val="0"/>
          <w:numId w:val="13"/>
        </w:numPr>
        <w:spacing w:line="360" w:lineRule="auto"/>
        <w:jc w:val="both"/>
      </w:pPr>
      <w:r w:rsidRPr="00AC00A3">
        <w:rPr>
          <w:b/>
          <w:bCs/>
        </w:rPr>
        <w:t>Timeline:</w:t>
      </w:r>
      <w:r>
        <w:t xml:space="preserve"> Conduct tree planting campaigns annually, focusing on native species.</w:t>
      </w:r>
    </w:p>
    <w:p w14:paraId="6A3A65E8" w14:textId="77777777" w:rsidR="00AC00A3" w:rsidRDefault="00AC00A3" w:rsidP="00AC00A3">
      <w:pPr>
        <w:pStyle w:val="Heading2"/>
      </w:pPr>
      <w:r>
        <w:t>Water Recycling and Conservation:</w:t>
      </w:r>
    </w:p>
    <w:p w14:paraId="6D16A01A" w14:textId="77777777" w:rsidR="00AC00A3" w:rsidRDefault="00AC00A3" w:rsidP="00AC00A3">
      <w:pPr>
        <w:pStyle w:val="ListParagraph"/>
        <w:numPr>
          <w:ilvl w:val="0"/>
          <w:numId w:val="14"/>
        </w:numPr>
        <w:spacing w:line="360" w:lineRule="auto"/>
        <w:jc w:val="both"/>
      </w:pPr>
      <w:r w:rsidRPr="00AC00A3">
        <w:rPr>
          <w:b/>
          <w:bCs/>
        </w:rPr>
        <w:t>Procedure</w:t>
      </w:r>
      <w:r>
        <w:t>: Implement water recycling systems in core processes.</w:t>
      </w:r>
    </w:p>
    <w:p w14:paraId="1808FEE8" w14:textId="77777777" w:rsidR="00AC00A3" w:rsidRDefault="00AC00A3" w:rsidP="00AC00A3">
      <w:pPr>
        <w:pStyle w:val="ListParagraph"/>
        <w:numPr>
          <w:ilvl w:val="0"/>
          <w:numId w:val="14"/>
        </w:numPr>
        <w:spacing w:line="360" w:lineRule="auto"/>
        <w:jc w:val="both"/>
      </w:pPr>
      <w:r w:rsidRPr="00AC00A3">
        <w:rPr>
          <w:b/>
          <w:bCs/>
        </w:rPr>
        <w:t xml:space="preserve">Timeline: </w:t>
      </w:r>
      <w:r>
        <w:t>Achieve a monthly recycled/re-use water target of 42%, in accordance with Business Policy commitments.</w:t>
      </w:r>
    </w:p>
    <w:p w14:paraId="2C27CEB1" w14:textId="77777777" w:rsidR="00AC00A3" w:rsidRDefault="00AC00A3" w:rsidP="00AC00A3">
      <w:pPr>
        <w:pStyle w:val="Heading2"/>
      </w:pPr>
      <w:r>
        <w:t>Waste Disposal Procedures:</w:t>
      </w:r>
    </w:p>
    <w:p w14:paraId="0E312FED" w14:textId="77777777" w:rsidR="00AC00A3" w:rsidRDefault="00AC00A3" w:rsidP="00AC00A3">
      <w:pPr>
        <w:spacing w:line="360" w:lineRule="auto"/>
        <w:jc w:val="both"/>
      </w:pPr>
    </w:p>
    <w:p w14:paraId="10083F7D" w14:textId="77777777" w:rsidR="00AC00A3" w:rsidRDefault="00AC00A3" w:rsidP="00AC00A3">
      <w:pPr>
        <w:pStyle w:val="ListParagraph"/>
        <w:numPr>
          <w:ilvl w:val="0"/>
          <w:numId w:val="15"/>
        </w:numPr>
        <w:spacing w:line="360" w:lineRule="auto"/>
        <w:jc w:val="both"/>
      </w:pPr>
      <w:r w:rsidRPr="00AC00A3">
        <w:rPr>
          <w:b/>
          <w:bCs/>
        </w:rPr>
        <w:t xml:space="preserve">Procedure: </w:t>
      </w:r>
      <w:r>
        <w:t>Adhere to proper waste disposal practices in line with regulations.</w:t>
      </w:r>
    </w:p>
    <w:p w14:paraId="27784E37" w14:textId="77777777" w:rsidR="00AC00A3" w:rsidRDefault="00AC00A3" w:rsidP="00AC00A3">
      <w:pPr>
        <w:pStyle w:val="ListParagraph"/>
        <w:numPr>
          <w:ilvl w:val="0"/>
          <w:numId w:val="15"/>
        </w:numPr>
        <w:spacing w:line="360" w:lineRule="auto"/>
        <w:jc w:val="both"/>
      </w:pPr>
      <w:r w:rsidRPr="00AC00A3">
        <w:rPr>
          <w:b/>
          <w:bCs/>
        </w:rPr>
        <w:t xml:space="preserve">Timeline: </w:t>
      </w:r>
      <w:r>
        <w:t>Regularly review and update waste disposal procedures; conduct periodic audits.</w:t>
      </w:r>
    </w:p>
    <w:p w14:paraId="4D5D6979" w14:textId="77777777" w:rsidR="00AC00A3" w:rsidRDefault="00AC00A3" w:rsidP="00AC00A3">
      <w:pPr>
        <w:pStyle w:val="Heading1"/>
      </w:pPr>
      <w:r>
        <w:t>Relevant Authorities:</w:t>
      </w:r>
    </w:p>
    <w:p w14:paraId="1BFDD31A" w14:textId="77777777" w:rsidR="00AC00A3" w:rsidRDefault="00AC00A3" w:rsidP="00AC00A3">
      <w:pPr>
        <w:pStyle w:val="ListParagraph"/>
        <w:numPr>
          <w:ilvl w:val="0"/>
          <w:numId w:val="16"/>
        </w:numPr>
        <w:spacing w:line="360" w:lineRule="auto"/>
        <w:jc w:val="both"/>
      </w:pPr>
      <w:r>
        <w:t>Environmental Management Authority (EMA):</w:t>
      </w:r>
    </w:p>
    <w:p w14:paraId="3399A9BE" w14:textId="77777777" w:rsidR="00AC00A3" w:rsidRDefault="00AC00A3" w:rsidP="00AC00A3">
      <w:pPr>
        <w:spacing w:line="360" w:lineRule="auto"/>
        <w:ind w:firstLine="720"/>
        <w:jc w:val="both"/>
      </w:pPr>
      <w:r>
        <w:t>Oversight and regulatory compliance.</w:t>
      </w:r>
    </w:p>
    <w:p w14:paraId="2911AFEC" w14:textId="77777777" w:rsidR="00AC00A3" w:rsidRDefault="00AC00A3" w:rsidP="00AC00A3">
      <w:pPr>
        <w:pStyle w:val="ListParagraph"/>
        <w:numPr>
          <w:ilvl w:val="0"/>
          <w:numId w:val="16"/>
        </w:numPr>
        <w:spacing w:line="360" w:lineRule="auto"/>
        <w:jc w:val="both"/>
      </w:pPr>
      <w:r>
        <w:t>Zimbabwe National Water Authority (ZINWA):</w:t>
      </w:r>
    </w:p>
    <w:p w14:paraId="7F3739FB" w14:textId="77777777" w:rsidR="00AC00A3" w:rsidRDefault="00AC00A3" w:rsidP="00AC00A3">
      <w:pPr>
        <w:spacing w:line="360" w:lineRule="auto"/>
        <w:ind w:firstLine="720"/>
        <w:jc w:val="both"/>
      </w:pPr>
      <w:r>
        <w:t>Water resource management and compliance.</w:t>
      </w:r>
    </w:p>
    <w:p w14:paraId="04B8456D" w14:textId="77777777" w:rsidR="00AC00A3" w:rsidRDefault="00AC00A3" w:rsidP="00AC00A3">
      <w:pPr>
        <w:pStyle w:val="ListParagraph"/>
        <w:numPr>
          <w:ilvl w:val="0"/>
          <w:numId w:val="16"/>
        </w:numPr>
        <w:spacing w:line="360" w:lineRule="auto"/>
        <w:jc w:val="both"/>
      </w:pPr>
      <w:r>
        <w:t>Local Environmental Agencies:</w:t>
      </w:r>
    </w:p>
    <w:p w14:paraId="00AD8444" w14:textId="77777777" w:rsidR="00AC00A3" w:rsidRDefault="00AC00A3" w:rsidP="00E336EF">
      <w:pPr>
        <w:spacing w:line="360" w:lineRule="auto"/>
        <w:ind w:left="720"/>
        <w:jc w:val="both"/>
      </w:pPr>
      <w:r>
        <w:t>Collaborative engagement for localized environmental impact assessments.</w:t>
      </w:r>
    </w:p>
    <w:p w14:paraId="1BB7D03D" w14:textId="77777777" w:rsidR="00AC00A3" w:rsidRDefault="00AC00A3" w:rsidP="00E336EF">
      <w:pPr>
        <w:pStyle w:val="ListParagraph"/>
        <w:numPr>
          <w:ilvl w:val="0"/>
          <w:numId w:val="16"/>
        </w:numPr>
        <w:spacing w:line="360" w:lineRule="auto"/>
        <w:jc w:val="both"/>
      </w:pPr>
      <w:r>
        <w:t>International Environmental Organizations:</w:t>
      </w:r>
    </w:p>
    <w:p w14:paraId="5F08E227" w14:textId="5AF17215" w:rsidR="006A2D14" w:rsidRDefault="00AC00A3" w:rsidP="00E336EF">
      <w:pPr>
        <w:spacing w:line="360" w:lineRule="auto"/>
        <w:ind w:left="720"/>
        <w:jc w:val="both"/>
      </w:pPr>
      <w:r>
        <w:t>Collaboration and alignment with global best practices.</w:t>
      </w:r>
    </w:p>
    <w:p w14:paraId="70693121" w14:textId="6E0A1020" w:rsidR="00DD248D" w:rsidRDefault="00C44133" w:rsidP="00DD248D">
      <w:pPr>
        <w:pStyle w:val="Heading1"/>
      </w:pPr>
      <w:r>
        <w:lastRenderedPageBreak/>
        <w:t xml:space="preserve">The </w:t>
      </w:r>
      <w:r w:rsidR="005D41DE">
        <w:t xml:space="preserve">10 </w:t>
      </w:r>
      <w:r>
        <w:t>Trukumb environment pledge</w:t>
      </w:r>
      <w:r w:rsidR="005D41DE">
        <w:t>s</w:t>
      </w:r>
    </w:p>
    <w:p w14:paraId="386E1F76" w14:textId="77777777" w:rsidR="00DD248D" w:rsidRDefault="00DD248D" w:rsidP="00DD248D"/>
    <w:p w14:paraId="07C69F01" w14:textId="1D10F5D4" w:rsidR="00756C3D" w:rsidRDefault="00756C3D" w:rsidP="003A0976">
      <w:pPr>
        <w:pStyle w:val="ListParagraph"/>
        <w:numPr>
          <w:ilvl w:val="0"/>
          <w:numId w:val="17"/>
        </w:numPr>
        <w:spacing w:line="360" w:lineRule="auto"/>
        <w:jc w:val="both"/>
      </w:pPr>
      <w:r w:rsidRPr="006B70FB">
        <w:rPr>
          <w:b/>
          <w:bCs/>
        </w:rPr>
        <w:t>We pledge</w:t>
      </w:r>
      <w:r>
        <w:t xml:space="preserve"> to abide by all relevant environmental laws, rules, and specifications.</w:t>
      </w:r>
      <w:r w:rsidR="003A0976">
        <w:t xml:space="preserve"> </w:t>
      </w:r>
      <w:r>
        <w:t>Our dedication lies in adhering to pertinent industry guidelines about the handling of environmental hazards, such as ISO14001 standards and the International Cyanide Management Code for the Production, Transportation, and Use of Cyanide in Gold Manufacturing.</w:t>
      </w:r>
    </w:p>
    <w:p w14:paraId="29FCF836" w14:textId="77777777" w:rsidR="00AE1820" w:rsidRDefault="00AE1820" w:rsidP="00AE1820">
      <w:pPr>
        <w:pStyle w:val="ListParagraph"/>
        <w:spacing w:line="360" w:lineRule="auto"/>
        <w:jc w:val="both"/>
      </w:pPr>
    </w:p>
    <w:p w14:paraId="121C6298" w14:textId="68CAF97F" w:rsidR="00756C3D" w:rsidRDefault="0021010F" w:rsidP="0021010F">
      <w:pPr>
        <w:pStyle w:val="ListParagraph"/>
        <w:numPr>
          <w:ilvl w:val="0"/>
          <w:numId w:val="17"/>
        </w:numPr>
        <w:spacing w:line="360" w:lineRule="auto"/>
        <w:jc w:val="both"/>
      </w:pPr>
      <w:r w:rsidRPr="006B70FB">
        <w:rPr>
          <w:b/>
          <w:bCs/>
        </w:rPr>
        <w:t>We pledge</w:t>
      </w:r>
      <w:r w:rsidR="00756C3D">
        <w:t xml:space="preserve"> to recognize, track, and manage the environmental effects of our operations—including the reduction of environmental risk—we are dedicated to putting in place and keeping up management systems. When necessary, we might mandate that staff members complete training to make sure they are abiding by all relevant environmental laws, rules, and regulations as well as best industry practices.</w:t>
      </w:r>
    </w:p>
    <w:p w14:paraId="0A7817B3" w14:textId="77777777" w:rsidR="00AE1820" w:rsidRDefault="00AE1820" w:rsidP="00AE1820">
      <w:pPr>
        <w:pStyle w:val="ListParagraph"/>
      </w:pPr>
    </w:p>
    <w:p w14:paraId="21416FE1" w14:textId="6E976C9F" w:rsidR="00D95362" w:rsidRDefault="0050779D" w:rsidP="0050779D">
      <w:pPr>
        <w:pStyle w:val="ListParagraph"/>
        <w:numPr>
          <w:ilvl w:val="0"/>
          <w:numId w:val="17"/>
        </w:numPr>
        <w:spacing w:line="360" w:lineRule="auto"/>
        <w:jc w:val="both"/>
      </w:pPr>
      <w:r w:rsidRPr="00AE1820">
        <w:rPr>
          <w:b/>
          <w:bCs/>
        </w:rPr>
        <w:t>As we pledge</w:t>
      </w:r>
      <w:r>
        <w:t xml:space="preserve"> to</w:t>
      </w:r>
      <w:r w:rsidR="00D95362">
        <w:t xml:space="preserve"> </w:t>
      </w:r>
      <w:r>
        <w:t>fulfil</w:t>
      </w:r>
      <w:r w:rsidR="00D95362">
        <w:t xml:space="preserve"> our responsibilities for reclamation, environmental protection, and mine closure—which includes progressive rehabilitation—we will make sure the necessary resources are available. As part of our mine closure strategy, we will also engage with the important stakeholders and local communities. </w:t>
      </w:r>
    </w:p>
    <w:p w14:paraId="666DBBD0" w14:textId="15E6B7AE" w:rsidR="00D95362" w:rsidRDefault="00D95362" w:rsidP="00AE1820">
      <w:pPr>
        <w:pStyle w:val="ListParagraph"/>
        <w:numPr>
          <w:ilvl w:val="0"/>
          <w:numId w:val="17"/>
        </w:numPr>
        <w:spacing w:line="360" w:lineRule="auto"/>
        <w:jc w:val="both"/>
      </w:pPr>
      <w:r w:rsidRPr="00AE1820">
        <w:rPr>
          <w:b/>
          <w:bCs/>
        </w:rPr>
        <w:t>In compliance</w:t>
      </w:r>
      <w:r>
        <w:t xml:space="preserve"> with this policy, any applicable laws, and the industry standards we are dedicated to upholding, we will make sure that our workers and contractors </w:t>
      </w:r>
      <w:r w:rsidR="008C4978">
        <w:t>fulfil</w:t>
      </w:r>
      <w:r>
        <w:t xml:space="preserve"> their obligations. </w:t>
      </w:r>
    </w:p>
    <w:p w14:paraId="3012F35B" w14:textId="5DAD3FC8" w:rsidR="00D95362" w:rsidRDefault="002D644C" w:rsidP="002D644C">
      <w:pPr>
        <w:pStyle w:val="ListParagraph"/>
        <w:numPr>
          <w:ilvl w:val="0"/>
          <w:numId w:val="17"/>
        </w:numPr>
        <w:spacing w:line="360" w:lineRule="auto"/>
        <w:jc w:val="both"/>
      </w:pPr>
      <w:r w:rsidRPr="002D644C">
        <w:rPr>
          <w:b/>
          <w:bCs/>
        </w:rPr>
        <w:t>We pledge</w:t>
      </w:r>
      <w:r w:rsidR="00D95362" w:rsidRPr="002D644C">
        <w:rPr>
          <w:b/>
          <w:bCs/>
        </w:rPr>
        <w:t xml:space="preserve"> </w:t>
      </w:r>
      <w:r w:rsidR="00D95362">
        <w:t xml:space="preserve">to inform the community on the environmental responsibilities related to our operations, we will collaborate with local officials in the places where we do business. </w:t>
      </w:r>
    </w:p>
    <w:p w14:paraId="5466F95B" w14:textId="4F21437C" w:rsidR="00A47F05" w:rsidRDefault="002D644C" w:rsidP="002D644C">
      <w:pPr>
        <w:pStyle w:val="ListParagraph"/>
        <w:numPr>
          <w:ilvl w:val="0"/>
          <w:numId w:val="17"/>
        </w:numPr>
        <w:spacing w:line="360" w:lineRule="auto"/>
        <w:jc w:val="both"/>
      </w:pPr>
      <w:r w:rsidRPr="002D644C">
        <w:rPr>
          <w:b/>
          <w:bCs/>
        </w:rPr>
        <w:t>We pledge</w:t>
      </w:r>
      <w:r w:rsidR="00F72355">
        <w:t xml:space="preserve"> to </w:t>
      </w:r>
      <w:r>
        <w:t>regularly engage in internal and external audits</w:t>
      </w:r>
      <w:r>
        <w:t xml:space="preserve"> t</w:t>
      </w:r>
      <w:r w:rsidR="00A47F05">
        <w:t>o track, measure, and assess the performance of our environmental management systems</w:t>
      </w:r>
      <w:r>
        <w:t xml:space="preserve">. </w:t>
      </w:r>
      <w:r w:rsidR="00A47F05">
        <w:t>The results of these audits will be shared with the Board of Directors' Technical, Health, and Safety Committee as well as, when relevant, external stakeholders. We intend to enhance the level of transparency in our yearly public disclosure on environmental issues, namely with risk management systems and environmental risk mitigation.</w:t>
      </w:r>
    </w:p>
    <w:p w14:paraId="241697B9" w14:textId="48874BBE" w:rsidR="00484E4C" w:rsidRDefault="002D644C" w:rsidP="002D644C">
      <w:pPr>
        <w:pStyle w:val="ListParagraph"/>
        <w:numPr>
          <w:ilvl w:val="0"/>
          <w:numId w:val="17"/>
        </w:numPr>
        <w:spacing w:line="360" w:lineRule="auto"/>
        <w:jc w:val="both"/>
      </w:pPr>
      <w:r w:rsidRPr="002D644C">
        <w:rPr>
          <w:b/>
          <w:bCs/>
        </w:rPr>
        <w:t xml:space="preserve">We pledge </w:t>
      </w:r>
      <w:r>
        <w:t>to</w:t>
      </w:r>
      <w:r w:rsidR="00484E4C">
        <w:t xml:space="preserve"> assess our biodiversity impacts and develop management plans with the aim of minimising deforestation and other biodiversity and </w:t>
      </w:r>
      <w:r w:rsidR="00484E4C">
        <w:lastRenderedPageBreak/>
        <w:t xml:space="preserve">land access impacts and ensuring no net loss of critical habitat. We will strive to continuously improve our environmental performance over time, including increasing our energy efficiency and reducing emissions and waste. We will also support sustainable development in the areas in which we operate. </w:t>
      </w:r>
    </w:p>
    <w:p w14:paraId="2DB72AB7" w14:textId="77777777" w:rsidR="001A117E" w:rsidRDefault="001A117E" w:rsidP="001A117E">
      <w:pPr>
        <w:pStyle w:val="ListParagraph"/>
        <w:numPr>
          <w:ilvl w:val="0"/>
          <w:numId w:val="17"/>
        </w:numPr>
        <w:spacing w:line="360" w:lineRule="auto"/>
        <w:jc w:val="both"/>
      </w:pPr>
      <w:r w:rsidRPr="001A117E">
        <w:rPr>
          <w:b/>
          <w:bCs/>
        </w:rPr>
        <w:t>We pledge</w:t>
      </w:r>
      <w:r>
        <w:t xml:space="preserve"> to ensure sustainable water use because we understand how sensitive water management and stewardship can be. Our objective is to continuously raise the effectiveness of water management systems. We keep an eye on how much water we use in our operational regions. </w:t>
      </w:r>
    </w:p>
    <w:p w14:paraId="37F6CBBA" w14:textId="77777777" w:rsidR="00502E66" w:rsidRDefault="00502E66" w:rsidP="00502E66">
      <w:pPr>
        <w:pStyle w:val="ListParagraph"/>
        <w:numPr>
          <w:ilvl w:val="0"/>
          <w:numId w:val="17"/>
        </w:numPr>
        <w:spacing w:line="360" w:lineRule="auto"/>
        <w:jc w:val="both"/>
      </w:pPr>
      <w:r w:rsidRPr="00502E66">
        <w:rPr>
          <w:b/>
          <w:bCs/>
        </w:rPr>
        <w:t>We pledge</w:t>
      </w:r>
      <w:r>
        <w:t xml:space="preserve"> to be conscious of climate change and that we must contribute to solutions that address the long-term effects of climate change, such as using renewable energy sources and reducing greenhouse gas emissions when practical. </w:t>
      </w:r>
    </w:p>
    <w:p w14:paraId="2FA9245B" w14:textId="721FB48A" w:rsidR="00E9206A" w:rsidRDefault="000D68B5" w:rsidP="003A0976">
      <w:pPr>
        <w:pStyle w:val="ListParagraph"/>
        <w:numPr>
          <w:ilvl w:val="0"/>
          <w:numId w:val="17"/>
        </w:numPr>
        <w:spacing w:line="360" w:lineRule="auto"/>
        <w:jc w:val="both"/>
      </w:pPr>
      <w:r>
        <w:rPr>
          <w:b/>
          <w:bCs/>
        </w:rPr>
        <w:t>W</w:t>
      </w:r>
      <w:r w:rsidR="00E9206A" w:rsidRPr="000D68B5">
        <w:rPr>
          <w:b/>
          <w:bCs/>
        </w:rPr>
        <w:t xml:space="preserve">e </w:t>
      </w:r>
      <w:r w:rsidRPr="000D68B5">
        <w:rPr>
          <w:b/>
          <w:bCs/>
        </w:rPr>
        <w:t>pledge</w:t>
      </w:r>
      <w:r>
        <w:t xml:space="preserve"> to</w:t>
      </w:r>
      <w:r w:rsidR="00E9206A">
        <w:t xml:space="preserve"> make every effort to reduce and recycle as much as we can</w:t>
      </w:r>
      <w:r>
        <w:t xml:space="preserve"> when </w:t>
      </w:r>
      <w:r>
        <w:t>handling, storing, and transporting both hazardous and non-hazardous trash</w:t>
      </w:r>
      <w:r w:rsidR="00E9206A">
        <w:t xml:space="preserve">. Our tailings facilities will be designed, governed, and managed in accordance with industry best practices. </w:t>
      </w:r>
    </w:p>
    <w:p w14:paraId="155B58B5" w14:textId="77777777" w:rsidR="00C44133" w:rsidRDefault="00C44133" w:rsidP="00C44133"/>
    <w:p w14:paraId="2FDF5A15" w14:textId="6593C50E" w:rsidR="00F32538" w:rsidRPr="00DD248D" w:rsidRDefault="00F32538" w:rsidP="00C44133"/>
    <w:sectPr w:rsidR="00F32538" w:rsidRPr="00DD24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578BC"/>
    <w:multiLevelType w:val="hybridMultilevel"/>
    <w:tmpl w:val="3DEE3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E9B2F28"/>
    <w:multiLevelType w:val="hybridMultilevel"/>
    <w:tmpl w:val="2222F8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59F61AB"/>
    <w:multiLevelType w:val="hybridMultilevel"/>
    <w:tmpl w:val="8FDA0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6C976EB"/>
    <w:multiLevelType w:val="hybridMultilevel"/>
    <w:tmpl w:val="B2C83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8CE72AD"/>
    <w:multiLevelType w:val="hybridMultilevel"/>
    <w:tmpl w:val="F3CC6F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1D256B4"/>
    <w:multiLevelType w:val="multilevel"/>
    <w:tmpl w:val="8C2C09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94C3C68"/>
    <w:multiLevelType w:val="hybridMultilevel"/>
    <w:tmpl w:val="25CA24C2"/>
    <w:lvl w:ilvl="0" w:tplc="8DD22DD2">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6262D87"/>
    <w:multiLevelType w:val="hybridMultilevel"/>
    <w:tmpl w:val="73DE6D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20B03A5"/>
    <w:multiLevelType w:val="multilevel"/>
    <w:tmpl w:val="E83A88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63C3B93"/>
    <w:multiLevelType w:val="hybridMultilevel"/>
    <w:tmpl w:val="7ABCE3A6"/>
    <w:lvl w:ilvl="0" w:tplc="9EDA7A2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53903380">
    <w:abstractNumId w:val="9"/>
  </w:num>
  <w:num w:numId="2" w16cid:durableId="1804809477">
    <w:abstractNumId w:val="6"/>
  </w:num>
  <w:num w:numId="3" w16cid:durableId="275987344">
    <w:abstractNumId w:val="6"/>
  </w:num>
  <w:num w:numId="4" w16cid:durableId="15693051">
    <w:abstractNumId w:val="6"/>
  </w:num>
  <w:num w:numId="5" w16cid:durableId="1403258431">
    <w:abstractNumId w:val="9"/>
  </w:num>
  <w:num w:numId="6" w16cid:durableId="1830554392">
    <w:abstractNumId w:val="5"/>
  </w:num>
  <w:num w:numId="7" w16cid:durableId="916986348">
    <w:abstractNumId w:val="8"/>
  </w:num>
  <w:num w:numId="8" w16cid:durableId="337120138">
    <w:abstractNumId w:val="8"/>
  </w:num>
  <w:num w:numId="9" w16cid:durableId="1616674016">
    <w:abstractNumId w:val="8"/>
  </w:num>
  <w:num w:numId="10" w16cid:durableId="815344681">
    <w:abstractNumId w:val="8"/>
  </w:num>
  <w:num w:numId="11" w16cid:durableId="1922256662">
    <w:abstractNumId w:val="8"/>
  </w:num>
  <w:num w:numId="12" w16cid:durableId="1940021338">
    <w:abstractNumId w:val="0"/>
  </w:num>
  <w:num w:numId="13" w16cid:durableId="1320186932">
    <w:abstractNumId w:val="2"/>
  </w:num>
  <w:num w:numId="14" w16cid:durableId="1008755339">
    <w:abstractNumId w:val="4"/>
  </w:num>
  <w:num w:numId="15" w16cid:durableId="833839251">
    <w:abstractNumId w:val="3"/>
  </w:num>
  <w:num w:numId="16" w16cid:durableId="369500202">
    <w:abstractNumId w:val="1"/>
  </w:num>
  <w:num w:numId="17" w16cid:durableId="2013297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AEF"/>
    <w:rsid w:val="0005720A"/>
    <w:rsid w:val="000D68B5"/>
    <w:rsid w:val="00167C5E"/>
    <w:rsid w:val="001A117E"/>
    <w:rsid w:val="0021010F"/>
    <w:rsid w:val="002D644C"/>
    <w:rsid w:val="003A0976"/>
    <w:rsid w:val="00484E4C"/>
    <w:rsid w:val="00502E66"/>
    <w:rsid w:val="0050779D"/>
    <w:rsid w:val="00530A57"/>
    <w:rsid w:val="005D41DE"/>
    <w:rsid w:val="006A2D14"/>
    <w:rsid w:val="006B70FB"/>
    <w:rsid w:val="00752E59"/>
    <w:rsid w:val="00756C3D"/>
    <w:rsid w:val="007B2763"/>
    <w:rsid w:val="008C4978"/>
    <w:rsid w:val="00A00AEF"/>
    <w:rsid w:val="00A47F05"/>
    <w:rsid w:val="00AC00A3"/>
    <w:rsid w:val="00AC7CAE"/>
    <w:rsid w:val="00AE1820"/>
    <w:rsid w:val="00C44133"/>
    <w:rsid w:val="00D95362"/>
    <w:rsid w:val="00DD248D"/>
    <w:rsid w:val="00E336EF"/>
    <w:rsid w:val="00E9206A"/>
    <w:rsid w:val="00EE7D1F"/>
    <w:rsid w:val="00F32538"/>
    <w:rsid w:val="00F723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B22B"/>
  <w15:chartTrackingRefBased/>
  <w15:docId w15:val="{21105939-D2D3-4FF2-95BB-9862966D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heme="minorHAnsi" w:hAnsi="Montserrat"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2E59"/>
    <w:pPr>
      <w:keepNext/>
      <w:keepLines/>
      <w:numPr>
        <w:numId w:val="11"/>
      </w:numPr>
      <w:spacing w:before="240" w:after="0"/>
      <w:outlineLvl w:val="0"/>
    </w:pPr>
    <w:rPr>
      <w:rFonts w:eastAsiaTheme="majorEastAsia" w:cstheme="majorBidi"/>
      <w:b/>
      <w:color w:val="6B9EE6"/>
      <w:sz w:val="32"/>
      <w:szCs w:val="32"/>
    </w:rPr>
  </w:style>
  <w:style w:type="paragraph" w:styleId="Heading2">
    <w:name w:val="heading 2"/>
    <w:basedOn w:val="Normal"/>
    <w:next w:val="Normal"/>
    <w:link w:val="Heading2Char"/>
    <w:autoRedefine/>
    <w:uiPriority w:val="9"/>
    <w:unhideWhenUsed/>
    <w:qFormat/>
    <w:rsid w:val="00752E59"/>
    <w:pPr>
      <w:keepNext/>
      <w:keepLines/>
      <w:numPr>
        <w:ilvl w:val="1"/>
        <w:numId w:val="11"/>
      </w:numPr>
      <w:spacing w:before="40" w:after="0"/>
      <w:outlineLvl w:val="1"/>
    </w:pPr>
    <w:rPr>
      <w:rFonts w:eastAsiaTheme="majorEastAsia" w:cstheme="majorBidi"/>
      <w:b/>
      <w:color w:val="6B9EE6"/>
      <w:sz w:val="26"/>
      <w:szCs w:val="26"/>
    </w:rPr>
  </w:style>
  <w:style w:type="paragraph" w:styleId="Heading3">
    <w:name w:val="heading 3"/>
    <w:basedOn w:val="Normal"/>
    <w:next w:val="Normal"/>
    <w:link w:val="Heading3Char"/>
    <w:autoRedefine/>
    <w:uiPriority w:val="9"/>
    <w:unhideWhenUsed/>
    <w:qFormat/>
    <w:rsid w:val="00752E59"/>
    <w:pPr>
      <w:keepNext/>
      <w:keepLines/>
      <w:numPr>
        <w:ilvl w:val="2"/>
        <w:numId w:val="11"/>
      </w:numPr>
      <w:spacing w:before="40" w:after="0"/>
      <w:outlineLvl w:val="2"/>
    </w:pPr>
    <w:rPr>
      <w:rFonts w:eastAsiaTheme="majorEastAsia" w:cstheme="majorBidi"/>
      <w:b/>
      <w:color w:val="6B9EE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59"/>
    <w:rPr>
      <w:rFonts w:ascii="Montserrat" w:eastAsiaTheme="majorEastAsia" w:hAnsi="Montserrat" w:cstheme="majorBidi"/>
      <w:b/>
      <w:color w:val="6B9EE6"/>
      <w:sz w:val="32"/>
      <w:szCs w:val="32"/>
    </w:rPr>
  </w:style>
  <w:style w:type="character" w:customStyle="1" w:styleId="Heading2Char">
    <w:name w:val="Heading 2 Char"/>
    <w:basedOn w:val="DefaultParagraphFont"/>
    <w:link w:val="Heading2"/>
    <w:uiPriority w:val="9"/>
    <w:rsid w:val="00752E59"/>
    <w:rPr>
      <w:rFonts w:ascii="Montserrat" w:eastAsiaTheme="majorEastAsia" w:hAnsi="Montserrat" w:cstheme="majorBidi"/>
      <w:b/>
      <w:color w:val="6B9EE6"/>
      <w:sz w:val="26"/>
      <w:szCs w:val="26"/>
    </w:rPr>
  </w:style>
  <w:style w:type="character" w:customStyle="1" w:styleId="Heading3Char">
    <w:name w:val="Heading 3 Char"/>
    <w:basedOn w:val="DefaultParagraphFont"/>
    <w:link w:val="Heading3"/>
    <w:uiPriority w:val="9"/>
    <w:rsid w:val="00752E59"/>
    <w:rPr>
      <w:rFonts w:ascii="Montserrat" w:eastAsiaTheme="majorEastAsia" w:hAnsi="Montserrat" w:cstheme="majorBidi"/>
      <w:b/>
      <w:color w:val="6B9EE6"/>
      <w:sz w:val="24"/>
      <w:szCs w:val="24"/>
    </w:rPr>
  </w:style>
  <w:style w:type="paragraph" w:styleId="ListParagraph">
    <w:name w:val="List Paragraph"/>
    <w:basedOn w:val="Normal"/>
    <w:uiPriority w:val="34"/>
    <w:qFormat/>
    <w:rsid w:val="00AC00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24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Sikhulile Dube</dc:creator>
  <cp:keywords/>
  <dc:description/>
  <cp:lastModifiedBy>Sikhulile Dube</cp:lastModifiedBy>
  <cp:revision>27</cp:revision>
  <dcterms:created xsi:type="dcterms:W3CDTF">2023-12-22T12:35:00Z</dcterms:created>
  <dcterms:modified xsi:type="dcterms:W3CDTF">2023-12-22T14:30:00Z</dcterms:modified>
</cp:coreProperties>
</file>