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6602" w14:textId="6D50F8A9" w:rsidR="006A2D14" w:rsidRPr="00495A01" w:rsidRDefault="00495A01" w:rsidP="00495A01">
      <w:pPr>
        <w:spacing w:line="360" w:lineRule="auto"/>
        <w:jc w:val="both"/>
        <w:rPr>
          <w:b/>
          <w:bCs/>
          <w:sz w:val="24"/>
          <w:szCs w:val="24"/>
        </w:rPr>
      </w:pPr>
      <w:r w:rsidRPr="00495A01">
        <w:rPr>
          <w:b/>
          <w:bCs/>
          <w:sz w:val="24"/>
          <w:szCs w:val="24"/>
        </w:rPr>
        <w:t>Community Engagement and Relations Policy:</w:t>
      </w:r>
      <w:r w:rsidRPr="00495A01">
        <w:rPr>
          <w:b/>
          <w:bCs/>
          <w:sz w:val="24"/>
          <w:szCs w:val="24"/>
        </w:rPr>
        <w:t xml:space="preserve"> Trukumb Mining</w:t>
      </w:r>
    </w:p>
    <w:p w14:paraId="6BAAEBB5" w14:textId="26F3D157" w:rsidR="00495A01" w:rsidRDefault="00495A01" w:rsidP="00495A01">
      <w:pPr>
        <w:pStyle w:val="Heading1"/>
      </w:pPr>
      <w:r>
        <w:t>Introduction:</w:t>
      </w:r>
    </w:p>
    <w:p w14:paraId="17216183" w14:textId="2CC51454" w:rsidR="00495A01" w:rsidRDefault="00495A01" w:rsidP="00495A01">
      <w:pPr>
        <w:spacing w:line="360" w:lineRule="auto"/>
        <w:jc w:val="both"/>
      </w:pPr>
      <w:r>
        <w:t>Trukumb Mining, situated in Filabusi, Matabeleland, Zimbabwe, is dedicated to building strong and positive relationships with the communities in which we operate. This Community Engagement and Relations Policy outlines our commitment to responsible and impactful community engagement, drawing inspiration from industry best practices</w:t>
      </w:r>
      <w:r>
        <w:t>.</w:t>
      </w:r>
    </w:p>
    <w:p w14:paraId="71944CF2" w14:textId="225BEEA9" w:rsidR="00495A01" w:rsidRDefault="00495A01" w:rsidP="00495A01">
      <w:pPr>
        <w:pStyle w:val="Heading1"/>
      </w:pPr>
      <w:r>
        <w:t>Guiding Principles:</w:t>
      </w:r>
    </w:p>
    <w:p w14:paraId="6158D2A1" w14:textId="77777777" w:rsidR="00495A01" w:rsidRDefault="00495A01" w:rsidP="00495A01">
      <w:pPr>
        <w:spacing w:line="360" w:lineRule="auto"/>
        <w:jc w:val="both"/>
      </w:pPr>
      <w:r>
        <w:t>We uphold the following principles to guide our community engagement efforts:</w:t>
      </w:r>
    </w:p>
    <w:p w14:paraId="24F515FB" w14:textId="6FDEB9B0" w:rsidR="00495A01" w:rsidRDefault="00495A01" w:rsidP="00495A01">
      <w:pPr>
        <w:pStyle w:val="ListParagraph"/>
        <w:numPr>
          <w:ilvl w:val="0"/>
          <w:numId w:val="13"/>
        </w:numPr>
        <w:spacing w:line="360" w:lineRule="auto"/>
        <w:jc w:val="both"/>
      </w:pPr>
      <w:r w:rsidRPr="00495A01">
        <w:rPr>
          <w:b/>
          <w:bCs/>
        </w:rPr>
        <w:t>Inclusive Engagement</w:t>
      </w:r>
      <w:r>
        <w:t>: Trukumb Mining is committed to actively engaging a diverse range of stakeholders, including local communities, governmental bodies, NGOs, and other relevant entities.</w:t>
      </w:r>
    </w:p>
    <w:p w14:paraId="19043AFA" w14:textId="60E703A9" w:rsidR="00495A01" w:rsidRDefault="00495A01" w:rsidP="00495A01">
      <w:pPr>
        <w:pStyle w:val="ListParagraph"/>
        <w:numPr>
          <w:ilvl w:val="0"/>
          <w:numId w:val="13"/>
        </w:numPr>
        <w:spacing w:line="360" w:lineRule="auto"/>
        <w:jc w:val="both"/>
      </w:pPr>
      <w:r w:rsidRPr="00495A01">
        <w:rPr>
          <w:b/>
          <w:bCs/>
        </w:rPr>
        <w:t>Transparency and Open Communication</w:t>
      </w:r>
      <w:r>
        <w:t>: We will maintain open and transparent communication about our operations, decision-making processes, and their potential impacts on the community.</w:t>
      </w:r>
    </w:p>
    <w:p w14:paraId="6FFA265F" w14:textId="77777777" w:rsidR="00495A01" w:rsidRDefault="00495A01" w:rsidP="00495A01">
      <w:pPr>
        <w:pStyle w:val="ListParagraph"/>
      </w:pPr>
    </w:p>
    <w:p w14:paraId="78FE7247" w14:textId="4DD00904" w:rsidR="00495A01" w:rsidRDefault="00495A01" w:rsidP="00495A01">
      <w:pPr>
        <w:pStyle w:val="ListParagraph"/>
        <w:numPr>
          <w:ilvl w:val="0"/>
          <w:numId w:val="13"/>
        </w:numPr>
        <w:spacing w:line="360" w:lineRule="auto"/>
        <w:jc w:val="both"/>
      </w:pPr>
      <w:r w:rsidRPr="00495A01">
        <w:rPr>
          <w:b/>
          <w:bCs/>
        </w:rPr>
        <w:t>Cultural Respect</w:t>
      </w:r>
      <w:r>
        <w:t>: Recognizing the cultural diversity in our operational areas, we commit to respecting and valuing local customs, traditions, and heritage.</w:t>
      </w:r>
    </w:p>
    <w:p w14:paraId="5A3520AE" w14:textId="6349B46F" w:rsidR="00495A01" w:rsidRDefault="00495A01" w:rsidP="00495A01">
      <w:pPr>
        <w:pStyle w:val="ListParagraph"/>
        <w:numPr>
          <w:ilvl w:val="0"/>
          <w:numId w:val="13"/>
        </w:numPr>
        <w:spacing w:line="360" w:lineRule="auto"/>
        <w:jc w:val="both"/>
      </w:pPr>
      <w:r w:rsidRPr="00495A01">
        <w:rPr>
          <w:b/>
          <w:bCs/>
        </w:rPr>
        <w:t>Shared Value Creation</w:t>
      </w:r>
      <w:r>
        <w:t>: We strive for mutual benefit, working to create shared value for both Trukumb Mining and the communities we serve.</w:t>
      </w:r>
    </w:p>
    <w:p w14:paraId="2CAB5267" w14:textId="5E0EE687" w:rsidR="00495A01" w:rsidRDefault="00495A01" w:rsidP="00495A01">
      <w:pPr>
        <w:pStyle w:val="Heading1"/>
      </w:pPr>
      <w:r>
        <w:t>Stakeholder Identification and Engagement:</w:t>
      </w:r>
    </w:p>
    <w:p w14:paraId="764AB36E" w14:textId="77777777" w:rsidR="00495A01" w:rsidRPr="00495A01" w:rsidRDefault="00495A01" w:rsidP="00495A01"/>
    <w:p w14:paraId="43850DCA" w14:textId="05E360C5" w:rsidR="00495A01" w:rsidRDefault="00495A01" w:rsidP="00495A01">
      <w:pPr>
        <w:pStyle w:val="ListParagraph"/>
        <w:numPr>
          <w:ilvl w:val="0"/>
          <w:numId w:val="17"/>
        </w:numPr>
        <w:spacing w:line="360" w:lineRule="auto"/>
        <w:jc w:val="both"/>
      </w:pPr>
      <w:r w:rsidRPr="00495A01">
        <w:rPr>
          <w:b/>
          <w:bCs/>
        </w:rPr>
        <w:t>Thorough Identification:</w:t>
      </w:r>
      <w:r>
        <w:t xml:space="preserve"> We will systematically identify and map key stakeholders, ensuring a comprehensive understanding of community dynamics.</w:t>
      </w:r>
    </w:p>
    <w:p w14:paraId="4EB233AD" w14:textId="4358F370" w:rsidR="00495A01" w:rsidRDefault="00495A01" w:rsidP="00495A01">
      <w:pPr>
        <w:pStyle w:val="ListParagraph"/>
        <w:numPr>
          <w:ilvl w:val="0"/>
          <w:numId w:val="17"/>
        </w:numPr>
        <w:spacing w:line="360" w:lineRule="auto"/>
        <w:jc w:val="both"/>
      </w:pPr>
      <w:r w:rsidRPr="00495A01">
        <w:rPr>
          <w:b/>
          <w:bCs/>
        </w:rPr>
        <w:t>Proactive Communication:</w:t>
      </w:r>
      <w:r>
        <w:t xml:space="preserve"> Trukumb Mining will establish effective communication channels, tailored to local contexts, to facilitate meaningful dialogue and understanding.</w:t>
      </w:r>
    </w:p>
    <w:p w14:paraId="201B2BA5" w14:textId="35DF0359" w:rsidR="00495A01" w:rsidRDefault="00495A01" w:rsidP="00495A01">
      <w:pPr>
        <w:pStyle w:val="ListParagraph"/>
        <w:numPr>
          <w:ilvl w:val="0"/>
          <w:numId w:val="17"/>
        </w:numPr>
        <w:spacing w:line="360" w:lineRule="auto"/>
        <w:jc w:val="both"/>
      </w:pPr>
      <w:r w:rsidRPr="00495A01">
        <w:rPr>
          <w:b/>
          <w:bCs/>
        </w:rPr>
        <w:t>Participatory Decision-Making:</w:t>
      </w:r>
      <w:r>
        <w:t xml:space="preserve"> We will actively involve local communities in relevant decision-making processes, seeking their insights and input.</w:t>
      </w:r>
    </w:p>
    <w:p w14:paraId="4D662CEF" w14:textId="77777777" w:rsidR="00495A01" w:rsidRDefault="00495A01" w:rsidP="00495A01">
      <w:pPr>
        <w:spacing w:line="360" w:lineRule="auto"/>
        <w:jc w:val="both"/>
      </w:pPr>
    </w:p>
    <w:p w14:paraId="63D6BE6A" w14:textId="7585EBB3" w:rsidR="00495A01" w:rsidRDefault="00495A01" w:rsidP="00606FF7">
      <w:pPr>
        <w:pStyle w:val="Heading1"/>
      </w:pPr>
      <w:r>
        <w:lastRenderedPageBreak/>
        <w:t>Social Responsibility and Sustainable Development:</w:t>
      </w:r>
    </w:p>
    <w:p w14:paraId="4053D06F" w14:textId="35697B90" w:rsidR="00495A01" w:rsidRDefault="00495A01" w:rsidP="00606FF7">
      <w:pPr>
        <w:pStyle w:val="ListParagraph"/>
        <w:numPr>
          <w:ilvl w:val="0"/>
          <w:numId w:val="19"/>
        </w:numPr>
        <w:spacing w:line="360" w:lineRule="auto"/>
        <w:jc w:val="both"/>
      </w:pPr>
      <w:r w:rsidRPr="00606FF7">
        <w:rPr>
          <w:b/>
          <w:bCs/>
        </w:rPr>
        <w:t xml:space="preserve">Local Economic Development: </w:t>
      </w:r>
      <w:r>
        <w:t>We commit to fostering local economic development by prioritizing local hiring and creating opportunities for skills development.</w:t>
      </w:r>
    </w:p>
    <w:p w14:paraId="67309D32" w14:textId="69F027AF" w:rsidR="00495A01" w:rsidRDefault="00495A01" w:rsidP="00606FF7">
      <w:pPr>
        <w:pStyle w:val="ListParagraph"/>
        <w:numPr>
          <w:ilvl w:val="0"/>
          <w:numId w:val="19"/>
        </w:numPr>
        <w:spacing w:line="360" w:lineRule="auto"/>
        <w:jc w:val="both"/>
      </w:pPr>
      <w:r w:rsidRPr="00606FF7">
        <w:rPr>
          <w:b/>
          <w:bCs/>
        </w:rPr>
        <w:t xml:space="preserve">Infrastructure Investment: </w:t>
      </w:r>
      <w:r>
        <w:t>Trukumb Mining will collaborate with local authorities to invest in essential infrastructure projects that contribute to the overall well-being of the community.</w:t>
      </w:r>
    </w:p>
    <w:p w14:paraId="05A5F1BC" w14:textId="0DB3512C" w:rsidR="00495A01" w:rsidRDefault="00495A01" w:rsidP="00606FF7">
      <w:pPr>
        <w:pStyle w:val="ListParagraph"/>
        <w:numPr>
          <w:ilvl w:val="0"/>
          <w:numId w:val="19"/>
        </w:numPr>
        <w:spacing w:line="360" w:lineRule="auto"/>
        <w:jc w:val="both"/>
      </w:pPr>
      <w:r w:rsidRPr="00606FF7">
        <w:rPr>
          <w:b/>
          <w:bCs/>
        </w:rPr>
        <w:t>Education and Capacity Building:</w:t>
      </w:r>
      <w:r>
        <w:t xml:space="preserve"> We will invest in education and training initiatives to empower community members and enhance their capabilities.</w:t>
      </w:r>
    </w:p>
    <w:p w14:paraId="49636FFA" w14:textId="3DEAB2F8" w:rsidR="00495A01" w:rsidRDefault="00495A01" w:rsidP="00606FF7">
      <w:pPr>
        <w:pStyle w:val="Heading1"/>
      </w:pPr>
      <w:r>
        <w:t>Environmental Stewardship:</w:t>
      </w:r>
    </w:p>
    <w:p w14:paraId="28437C37" w14:textId="77777777" w:rsidR="00606FF7" w:rsidRPr="00606FF7" w:rsidRDefault="00606FF7" w:rsidP="00606FF7"/>
    <w:p w14:paraId="06CB9341" w14:textId="2F891861" w:rsidR="00495A01" w:rsidRDefault="00495A01" w:rsidP="00606FF7">
      <w:pPr>
        <w:pStyle w:val="ListParagraph"/>
        <w:numPr>
          <w:ilvl w:val="0"/>
          <w:numId w:val="21"/>
        </w:numPr>
        <w:spacing w:line="360" w:lineRule="auto"/>
        <w:jc w:val="both"/>
      </w:pPr>
      <w:r w:rsidRPr="00606FF7">
        <w:rPr>
          <w:b/>
          <w:bCs/>
        </w:rPr>
        <w:t>Responsible Mining Practices:</w:t>
      </w:r>
      <w:r>
        <w:t xml:space="preserve"> Trukumb Mining will adhere to responsible mining practices, minimizing environmental impact and promoting sustainable resource management.</w:t>
      </w:r>
    </w:p>
    <w:p w14:paraId="15663B83" w14:textId="3186F376" w:rsidR="00495A01" w:rsidRDefault="00495A01" w:rsidP="00606FF7">
      <w:pPr>
        <w:pStyle w:val="ListParagraph"/>
        <w:numPr>
          <w:ilvl w:val="0"/>
          <w:numId w:val="21"/>
        </w:numPr>
        <w:spacing w:line="360" w:lineRule="auto"/>
        <w:jc w:val="both"/>
      </w:pPr>
      <w:r w:rsidRPr="00606FF7">
        <w:rPr>
          <w:b/>
          <w:bCs/>
        </w:rPr>
        <w:t>Community Environmental Awareness</w:t>
      </w:r>
      <w:r>
        <w:t>: We will engage in continuous efforts to educate local communities about our environmental practices, fostering awareness and understanding.</w:t>
      </w:r>
    </w:p>
    <w:p w14:paraId="1175ACDD" w14:textId="53353D67" w:rsidR="00495A01" w:rsidRDefault="00495A01" w:rsidP="00606FF7">
      <w:pPr>
        <w:pStyle w:val="Heading1"/>
      </w:pPr>
      <w:r>
        <w:t>Grievance Mechanism:</w:t>
      </w:r>
    </w:p>
    <w:p w14:paraId="14EFC1A4" w14:textId="77777777" w:rsidR="00606FF7" w:rsidRPr="00606FF7" w:rsidRDefault="00606FF7" w:rsidP="00606FF7"/>
    <w:p w14:paraId="6A7557F3" w14:textId="1FD11340" w:rsidR="00495A01" w:rsidRDefault="00495A01" w:rsidP="00606FF7">
      <w:pPr>
        <w:pStyle w:val="ListParagraph"/>
        <w:numPr>
          <w:ilvl w:val="0"/>
          <w:numId w:val="23"/>
        </w:numPr>
        <w:spacing w:line="360" w:lineRule="auto"/>
        <w:jc w:val="both"/>
      </w:pPr>
      <w:r w:rsidRPr="00606FF7">
        <w:rPr>
          <w:b/>
          <w:bCs/>
        </w:rPr>
        <w:t>Transparent Mechanism:</w:t>
      </w:r>
      <w:r>
        <w:t xml:space="preserve"> We will establish a transparent and accessible grievance mechanism, allowing community members to express concerns and seek resolution.</w:t>
      </w:r>
    </w:p>
    <w:p w14:paraId="6F3CD31B" w14:textId="2F476880" w:rsidR="00495A01" w:rsidRDefault="00495A01" w:rsidP="00606FF7">
      <w:pPr>
        <w:pStyle w:val="ListParagraph"/>
        <w:numPr>
          <w:ilvl w:val="0"/>
          <w:numId w:val="23"/>
        </w:numPr>
        <w:spacing w:line="360" w:lineRule="auto"/>
        <w:jc w:val="both"/>
      </w:pPr>
      <w:r w:rsidRPr="00606FF7">
        <w:rPr>
          <w:b/>
          <w:bCs/>
        </w:rPr>
        <w:t>Continuous Improvement</w:t>
      </w:r>
      <w:r>
        <w:t>: Feedback received through the grievance mechanism will be used to drive continuous improvement in our operations and community engagement practices.</w:t>
      </w:r>
    </w:p>
    <w:p w14:paraId="0B7BB3FD" w14:textId="77777777" w:rsidR="00495A01" w:rsidRDefault="00495A01" w:rsidP="00495A01">
      <w:pPr>
        <w:spacing w:line="360" w:lineRule="auto"/>
        <w:jc w:val="both"/>
      </w:pPr>
    </w:p>
    <w:p w14:paraId="70F6B58B" w14:textId="4A477E9D" w:rsidR="00495A01" w:rsidRDefault="00495A01" w:rsidP="00606FF7">
      <w:pPr>
        <w:pStyle w:val="Heading1"/>
      </w:pPr>
      <w:r>
        <w:t>Compliance and Reporting:</w:t>
      </w:r>
    </w:p>
    <w:p w14:paraId="74C017B9" w14:textId="77777777" w:rsidR="00606FF7" w:rsidRPr="00606FF7" w:rsidRDefault="00606FF7" w:rsidP="00606FF7"/>
    <w:p w14:paraId="439F91CD" w14:textId="7116DE66" w:rsidR="00495A01" w:rsidRDefault="00495A01" w:rsidP="00606FF7">
      <w:pPr>
        <w:pStyle w:val="ListParagraph"/>
        <w:numPr>
          <w:ilvl w:val="0"/>
          <w:numId w:val="24"/>
        </w:numPr>
        <w:spacing w:line="360" w:lineRule="auto"/>
        <w:jc w:val="both"/>
      </w:pPr>
      <w:r w:rsidRPr="00606FF7">
        <w:rPr>
          <w:b/>
          <w:bCs/>
        </w:rPr>
        <w:t>Legal Adherence</w:t>
      </w:r>
      <w:r>
        <w:t>: Trukumb Mining commits to compliance with all relevant laws and regulations pertaining to community engagement and relations.</w:t>
      </w:r>
    </w:p>
    <w:p w14:paraId="5BA94C7F" w14:textId="77777777" w:rsidR="00495A01" w:rsidRDefault="00495A01" w:rsidP="00495A01">
      <w:pPr>
        <w:spacing w:line="360" w:lineRule="auto"/>
        <w:jc w:val="both"/>
      </w:pPr>
    </w:p>
    <w:p w14:paraId="4B0CC9EA" w14:textId="4911FB6B" w:rsidR="00495A01" w:rsidRDefault="00495A01" w:rsidP="00606FF7">
      <w:pPr>
        <w:pStyle w:val="ListParagraph"/>
        <w:numPr>
          <w:ilvl w:val="0"/>
          <w:numId w:val="24"/>
        </w:numPr>
        <w:spacing w:line="360" w:lineRule="auto"/>
        <w:jc w:val="both"/>
      </w:pPr>
      <w:r w:rsidRPr="00606FF7">
        <w:rPr>
          <w:b/>
          <w:bCs/>
        </w:rPr>
        <w:t>Transparent Reporting:</w:t>
      </w:r>
      <w:r>
        <w:t xml:space="preserve"> Regular and transparent reporting will be provided, sharing the progress, challenges, and </w:t>
      </w:r>
      <w:proofErr w:type="gramStart"/>
      <w:r>
        <w:t>future</w:t>
      </w:r>
      <w:r w:rsidR="00606FF7">
        <w:t xml:space="preserve"> </w:t>
      </w:r>
      <w:r>
        <w:t>plans</w:t>
      </w:r>
      <w:proofErr w:type="gramEnd"/>
      <w:r>
        <w:t xml:space="preserve"> of our community engagement initiatives.</w:t>
      </w:r>
    </w:p>
    <w:p w14:paraId="5AB59A1C" w14:textId="77777777" w:rsidR="007040AA" w:rsidRDefault="007040AA" w:rsidP="007040AA">
      <w:pPr>
        <w:pStyle w:val="ListParagraph"/>
      </w:pPr>
    </w:p>
    <w:p w14:paraId="0D730219" w14:textId="77777777" w:rsidR="007040AA" w:rsidRDefault="007040AA" w:rsidP="007040AA">
      <w:pPr>
        <w:pStyle w:val="Heading1"/>
      </w:pPr>
      <w:r>
        <w:t>Responsible Person and Reporting Structure:</w:t>
      </w:r>
    </w:p>
    <w:p w14:paraId="32838369" w14:textId="77777777" w:rsidR="007040AA" w:rsidRPr="007040AA" w:rsidRDefault="007040AA" w:rsidP="007040AA"/>
    <w:p w14:paraId="10242C43" w14:textId="211EF035" w:rsidR="007040AA" w:rsidRDefault="007040AA" w:rsidP="007040AA">
      <w:pPr>
        <w:pStyle w:val="ListParagraph"/>
        <w:numPr>
          <w:ilvl w:val="0"/>
          <w:numId w:val="26"/>
        </w:numPr>
        <w:spacing w:line="360" w:lineRule="auto"/>
        <w:jc w:val="both"/>
      </w:pPr>
      <w:r w:rsidRPr="007040AA">
        <w:rPr>
          <w:b/>
          <w:bCs/>
        </w:rPr>
        <w:t xml:space="preserve">Responsible Person: </w:t>
      </w:r>
      <w:r>
        <w:t xml:space="preserve">The </w:t>
      </w:r>
      <w:r>
        <w:t>Homan Resources Officer</w:t>
      </w:r>
      <w:r>
        <w:t xml:space="preserve"> is appointed to oversee the implementation of this policy.</w:t>
      </w:r>
    </w:p>
    <w:p w14:paraId="07B87498" w14:textId="70A5B930" w:rsidR="007040AA" w:rsidRDefault="007040AA" w:rsidP="007040AA">
      <w:pPr>
        <w:pStyle w:val="ListParagraph"/>
        <w:numPr>
          <w:ilvl w:val="0"/>
          <w:numId w:val="26"/>
        </w:numPr>
        <w:spacing w:line="360" w:lineRule="auto"/>
        <w:jc w:val="both"/>
      </w:pPr>
      <w:r w:rsidRPr="007040AA">
        <w:rPr>
          <w:b/>
          <w:bCs/>
        </w:rPr>
        <w:t>Reporting Structure:</w:t>
      </w:r>
      <w:r>
        <w:t xml:space="preserve"> The </w:t>
      </w:r>
      <w:r>
        <w:t>Human Resources officer</w:t>
      </w:r>
      <w:r>
        <w:t xml:space="preserve"> will report directly to the </w:t>
      </w:r>
      <w:r>
        <w:t>Huma Resources Manager</w:t>
      </w:r>
      <w:r>
        <w:t xml:space="preserve"> on community engagement matters and will liaise with the Executive Committee to ensure alignment with overall company objectives.</w:t>
      </w:r>
    </w:p>
    <w:p w14:paraId="11F763A0" w14:textId="3A787C46" w:rsidR="007040AA" w:rsidRDefault="007040AA" w:rsidP="007040AA">
      <w:pPr>
        <w:pStyle w:val="ListParagraph"/>
        <w:numPr>
          <w:ilvl w:val="0"/>
          <w:numId w:val="26"/>
        </w:numPr>
        <w:spacing w:line="360" w:lineRule="auto"/>
        <w:jc w:val="both"/>
      </w:pPr>
      <w:r w:rsidRPr="007040AA">
        <w:rPr>
          <w:b/>
          <w:bCs/>
        </w:rPr>
        <w:t xml:space="preserve">Community Engagement Oversight Committee: </w:t>
      </w:r>
      <w:r>
        <w:t>A dedicated Community Engagement Oversight Committee, comprising representatives from various departments, local communities, and external experts, will be established. This committee will meet regularly to review, assess, and guide the implementation of the Community Engagement and Relations Policy.</w:t>
      </w:r>
    </w:p>
    <w:sectPr w:rsidR="00704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822"/>
    <w:multiLevelType w:val="hybridMultilevel"/>
    <w:tmpl w:val="F7C01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04422A"/>
    <w:multiLevelType w:val="hybridMultilevel"/>
    <w:tmpl w:val="76B45DA6"/>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29177C"/>
    <w:multiLevelType w:val="hybridMultilevel"/>
    <w:tmpl w:val="520038B2"/>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690411"/>
    <w:multiLevelType w:val="hybridMultilevel"/>
    <w:tmpl w:val="216A570E"/>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F42841"/>
    <w:multiLevelType w:val="hybridMultilevel"/>
    <w:tmpl w:val="10D2B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7532C4C"/>
    <w:multiLevelType w:val="hybridMultilevel"/>
    <w:tmpl w:val="12B07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D256B4"/>
    <w:multiLevelType w:val="multilevel"/>
    <w:tmpl w:val="8C2C09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94C3C68"/>
    <w:multiLevelType w:val="hybridMultilevel"/>
    <w:tmpl w:val="25CA24C2"/>
    <w:lvl w:ilvl="0" w:tplc="8DD22DD2">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9C018D3"/>
    <w:multiLevelType w:val="hybridMultilevel"/>
    <w:tmpl w:val="09BCD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CB61E5"/>
    <w:multiLevelType w:val="hybridMultilevel"/>
    <w:tmpl w:val="DD6AE0CC"/>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8B6F9C"/>
    <w:multiLevelType w:val="hybridMultilevel"/>
    <w:tmpl w:val="06A8B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EE54FFC"/>
    <w:multiLevelType w:val="hybridMultilevel"/>
    <w:tmpl w:val="CDA6F23E"/>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0709C5"/>
    <w:multiLevelType w:val="hybridMultilevel"/>
    <w:tmpl w:val="622C99DA"/>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0B03A5"/>
    <w:multiLevelType w:val="multilevel"/>
    <w:tmpl w:val="E83A88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2BD49C1"/>
    <w:multiLevelType w:val="hybridMultilevel"/>
    <w:tmpl w:val="869EF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DF34FA3"/>
    <w:multiLevelType w:val="hybridMultilevel"/>
    <w:tmpl w:val="E02C83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3251EF8"/>
    <w:multiLevelType w:val="hybridMultilevel"/>
    <w:tmpl w:val="52ECA534"/>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3C3B93"/>
    <w:multiLevelType w:val="hybridMultilevel"/>
    <w:tmpl w:val="7ABCE3A6"/>
    <w:lvl w:ilvl="0" w:tplc="9EDA7A2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B9550FB"/>
    <w:multiLevelType w:val="hybridMultilevel"/>
    <w:tmpl w:val="CC5A5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53903380">
    <w:abstractNumId w:val="17"/>
  </w:num>
  <w:num w:numId="2" w16cid:durableId="1804809477">
    <w:abstractNumId w:val="7"/>
  </w:num>
  <w:num w:numId="3" w16cid:durableId="275987344">
    <w:abstractNumId w:val="7"/>
  </w:num>
  <w:num w:numId="4" w16cid:durableId="15693051">
    <w:abstractNumId w:val="7"/>
  </w:num>
  <w:num w:numId="5" w16cid:durableId="1403258431">
    <w:abstractNumId w:val="17"/>
  </w:num>
  <w:num w:numId="6" w16cid:durableId="1830554392">
    <w:abstractNumId w:val="6"/>
  </w:num>
  <w:num w:numId="7" w16cid:durableId="916986348">
    <w:abstractNumId w:val="13"/>
  </w:num>
  <w:num w:numId="8" w16cid:durableId="337120138">
    <w:abstractNumId w:val="13"/>
  </w:num>
  <w:num w:numId="9" w16cid:durableId="1616674016">
    <w:abstractNumId w:val="13"/>
  </w:num>
  <w:num w:numId="10" w16cid:durableId="815344681">
    <w:abstractNumId w:val="13"/>
  </w:num>
  <w:num w:numId="11" w16cid:durableId="1922256662">
    <w:abstractNumId w:val="13"/>
  </w:num>
  <w:num w:numId="12" w16cid:durableId="686179209">
    <w:abstractNumId w:val="4"/>
  </w:num>
  <w:num w:numId="13" w16cid:durableId="749279238">
    <w:abstractNumId w:val="11"/>
  </w:num>
  <w:num w:numId="14" w16cid:durableId="319971430">
    <w:abstractNumId w:val="0"/>
  </w:num>
  <w:num w:numId="15" w16cid:durableId="742800815">
    <w:abstractNumId w:val="2"/>
  </w:num>
  <w:num w:numId="16" w16cid:durableId="1335573732">
    <w:abstractNumId w:val="5"/>
  </w:num>
  <w:num w:numId="17" w16cid:durableId="28191399">
    <w:abstractNumId w:val="1"/>
  </w:num>
  <w:num w:numId="18" w16cid:durableId="753550799">
    <w:abstractNumId w:val="8"/>
  </w:num>
  <w:num w:numId="19" w16cid:durableId="1892230661">
    <w:abstractNumId w:val="12"/>
  </w:num>
  <w:num w:numId="20" w16cid:durableId="1201481009">
    <w:abstractNumId w:val="18"/>
  </w:num>
  <w:num w:numId="21" w16cid:durableId="1066605805">
    <w:abstractNumId w:val="16"/>
  </w:num>
  <w:num w:numId="22" w16cid:durableId="887110081">
    <w:abstractNumId w:val="14"/>
  </w:num>
  <w:num w:numId="23" w16cid:durableId="701832336">
    <w:abstractNumId w:val="3"/>
  </w:num>
  <w:num w:numId="24" w16cid:durableId="707798184">
    <w:abstractNumId w:val="15"/>
  </w:num>
  <w:num w:numId="25" w16cid:durableId="1792481553">
    <w:abstractNumId w:val="10"/>
  </w:num>
  <w:num w:numId="26" w16cid:durableId="1570187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01"/>
    <w:rsid w:val="00495A01"/>
    <w:rsid w:val="00606FF7"/>
    <w:rsid w:val="006A2D14"/>
    <w:rsid w:val="007040AA"/>
    <w:rsid w:val="00752E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60DD"/>
  <w15:chartTrackingRefBased/>
  <w15:docId w15:val="{3F49C7F4-DC37-4F9E-BEA2-81EBF039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2E59"/>
    <w:pPr>
      <w:keepNext/>
      <w:keepLines/>
      <w:numPr>
        <w:numId w:val="11"/>
      </w:numPr>
      <w:spacing w:before="240" w:after="0"/>
      <w:outlineLvl w:val="0"/>
    </w:pPr>
    <w:rPr>
      <w:rFonts w:eastAsiaTheme="majorEastAsia" w:cstheme="majorBidi"/>
      <w:b/>
      <w:color w:val="6B9EE6"/>
      <w:sz w:val="32"/>
      <w:szCs w:val="32"/>
    </w:rPr>
  </w:style>
  <w:style w:type="paragraph" w:styleId="Heading2">
    <w:name w:val="heading 2"/>
    <w:basedOn w:val="Normal"/>
    <w:next w:val="Normal"/>
    <w:link w:val="Heading2Char"/>
    <w:autoRedefine/>
    <w:uiPriority w:val="9"/>
    <w:unhideWhenUsed/>
    <w:qFormat/>
    <w:rsid w:val="00752E59"/>
    <w:pPr>
      <w:keepNext/>
      <w:keepLines/>
      <w:numPr>
        <w:ilvl w:val="1"/>
        <w:numId w:val="11"/>
      </w:numPr>
      <w:spacing w:before="40" w:after="0"/>
      <w:outlineLvl w:val="1"/>
    </w:pPr>
    <w:rPr>
      <w:rFonts w:eastAsiaTheme="majorEastAsia" w:cstheme="majorBidi"/>
      <w:b/>
      <w:color w:val="6B9EE6"/>
      <w:sz w:val="26"/>
      <w:szCs w:val="26"/>
    </w:rPr>
  </w:style>
  <w:style w:type="paragraph" w:styleId="Heading3">
    <w:name w:val="heading 3"/>
    <w:basedOn w:val="Normal"/>
    <w:next w:val="Normal"/>
    <w:link w:val="Heading3Char"/>
    <w:autoRedefine/>
    <w:uiPriority w:val="9"/>
    <w:unhideWhenUsed/>
    <w:qFormat/>
    <w:rsid w:val="00752E59"/>
    <w:pPr>
      <w:keepNext/>
      <w:keepLines/>
      <w:numPr>
        <w:ilvl w:val="2"/>
        <w:numId w:val="11"/>
      </w:numPr>
      <w:spacing w:before="40" w:after="0"/>
      <w:outlineLvl w:val="2"/>
    </w:pPr>
    <w:rPr>
      <w:rFonts w:eastAsiaTheme="majorEastAsia" w:cstheme="majorBidi"/>
      <w:b/>
      <w:color w:val="6B9EE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59"/>
    <w:rPr>
      <w:rFonts w:ascii="Montserrat" w:eastAsiaTheme="majorEastAsia" w:hAnsi="Montserrat" w:cstheme="majorBidi"/>
      <w:b/>
      <w:color w:val="6B9EE6"/>
      <w:sz w:val="32"/>
      <w:szCs w:val="32"/>
    </w:rPr>
  </w:style>
  <w:style w:type="character" w:customStyle="1" w:styleId="Heading2Char">
    <w:name w:val="Heading 2 Char"/>
    <w:basedOn w:val="DefaultParagraphFont"/>
    <w:link w:val="Heading2"/>
    <w:uiPriority w:val="9"/>
    <w:rsid w:val="00752E59"/>
    <w:rPr>
      <w:rFonts w:ascii="Montserrat" w:eastAsiaTheme="majorEastAsia" w:hAnsi="Montserrat" w:cstheme="majorBidi"/>
      <w:b/>
      <w:color w:val="6B9EE6"/>
      <w:sz w:val="26"/>
      <w:szCs w:val="26"/>
    </w:rPr>
  </w:style>
  <w:style w:type="character" w:customStyle="1" w:styleId="Heading3Char">
    <w:name w:val="Heading 3 Char"/>
    <w:basedOn w:val="DefaultParagraphFont"/>
    <w:link w:val="Heading3"/>
    <w:uiPriority w:val="9"/>
    <w:rsid w:val="00752E59"/>
    <w:rPr>
      <w:rFonts w:ascii="Montserrat" w:eastAsiaTheme="majorEastAsia" w:hAnsi="Montserrat" w:cstheme="majorBidi"/>
      <w:b/>
      <w:color w:val="6B9EE6"/>
      <w:sz w:val="24"/>
      <w:szCs w:val="24"/>
    </w:rPr>
  </w:style>
  <w:style w:type="paragraph" w:styleId="ListParagraph">
    <w:name w:val="List Paragraph"/>
    <w:basedOn w:val="Normal"/>
    <w:uiPriority w:val="34"/>
    <w:qFormat/>
    <w:rsid w:val="00495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Sikhulile Dube</dc:creator>
  <cp:keywords/>
  <dc:description/>
  <cp:lastModifiedBy>Sikhulile Dube</cp:lastModifiedBy>
  <cp:revision>1</cp:revision>
  <dcterms:created xsi:type="dcterms:W3CDTF">2023-12-26T08:44:00Z</dcterms:created>
  <dcterms:modified xsi:type="dcterms:W3CDTF">2023-12-26T09:12:00Z</dcterms:modified>
</cp:coreProperties>
</file>